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mallCaps w:val="0"/>
          <w:sz w:val="28"/>
          <w:szCs w:val="28"/>
          <w:rtl w:val="0"/>
        </w:rPr>
        <w:t xml:space="preserve">OIEI ry:n tapahtumaraportti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i w:val="1"/>
          <w:iCs w:val="1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z w:val="24"/>
          <w:szCs w:val="24"/>
          <w:rtl w:val="0"/>
        </w:rPr>
        <w:t xml:space="preserve">HUOM! Kun arvioit tapahtuman kestoa (alkua ja loppua) ota huomioon myös kaupassa käynti,  varastokeikat, loppusiivous yms. tapahtumaa edeltävät ja seuraavat toimet.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nimi: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tyyppi (larppi, minilarppi, softairtapahtuma, yhteistyö jne):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Tapahtumapaikka: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aloitusaika (pvm &amp; klo):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lopetusaika (pvm &amp; klo):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Vastuullinen järjestäjä: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Muut vastuulliset pelinjärjestäjät: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osallistujien lukumäärä: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Tapahtumaan osallistuneiden OIEI:n jäsenten lukumäärä: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Tapahtumaan osallistuneiden alle 29-vuotiaiden lukumäärä, muista kuin yhdistyksen tapahtumista vain OIEI:läiset alle 29-vuotiaat: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Jos tapahtuma on Oiein tapahtuma, vastaa myös seuraaviin kysymyksiin: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Turvallisuusvastaava: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Siivousvastaava: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Jäsenvastaava: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suunnittelemiseen käytettyjen kokousten arvioitu lukumäärä (Eli esimerkiksi pelinjohdon kokoontumiset pelinkirjoituksineen, arvio riittää):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Lyhyt kuvaus tapahtumasta OIEI ry:n toimintakertomukseen: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Rule="auto"/>
    </w:pPr>
    <w:rPr>
      <w:smallCaps w:val="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Rule="auto"/>
    </w:pPr>
    <w:rPr>
      <w:smallCap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Rule="auto"/>
    </w:pPr>
    <w:rPr>
      <w:smallCap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Rule="auto"/>
    </w:pPr>
    <w:rPr>
      <w:smallCaps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Rule="auto"/>
    </w:pPr>
    <w:rPr>
      <w:smallCaps w:val="0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Rule="auto"/>
    </w:pPr>
    <w:rPr>
      <w:i w:val="1"/>
      <w:iCs w:val="1"/>
      <w:smallCaps w:val="0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</w:pPr>
    <w:rPr>
      <w:smallCaps w:val="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lineRule="auto"/>
    </w:pPr>
    <w:rPr>
      <w:smallCap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